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067" w:rsidRPr="00DF7BCA" w:rsidRDefault="009E2067" w:rsidP="009E2067">
      <w:pPr>
        <w:numPr>
          <w:ilvl w:val="0"/>
          <w:numId w:val="2"/>
        </w:numPr>
        <w:tabs>
          <w:tab w:val="left" w:pos="0"/>
          <w:tab w:val="left" w:pos="284"/>
        </w:tabs>
        <w:ind w:right="113"/>
        <w:contextualSpacing/>
        <w:jc w:val="left"/>
        <w:rPr>
          <w:rFonts w:ascii="Times New Roman" w:hAnsi="Times New Roman"/>
          <w:b/>
          <w:sz w:val="22"/>
          <w:szCs w:val="22"/>
        </w:rPr>
      </w:pPr>
      <w:r w:rsidRPr="00DF7BCA">
        <w:rPr>
          <w:rFonts w:ascii="Times New Roman" w:hAnsi="Times New Roman"/>
          <w:b/>
          <w:sz w:val="22"/>
          <w:szCs w:val="22"/>
        </w:rPr>
        <w:t>Allegati tecnici</w:t>
      </w:r>
    </w:p>
    <w:p w:rsidR="009E2067" w:rsidRPr="00DF7BCA" w:rsidRDefault="009E2067" w:rsidP="009E2067">
      <w:pPr>
        <w:tabs>
          <w:tab w:val="left" w:pos="0"/>
          <w:tab w:val="left" w:pos="284"/>
        </w:tabs>
        <w:ind w:right="113"/>
        <w:rPr>
          <w:rFonts w:ascii="Times New Roman" w:hAnsi="Times New Roman"/>
          <w:b/>
          <w:sz w:val="22"/>
          <w:szCs w:val="22"/>
        </w:rPr>
      </w:pPr>
    </w:p>
    <w:p w:rsidR="009E2067" w:rsidRPr="00DF7BCA" w:rsidRDefault="009E2067" w:rsidP="009E2067">
      <w:pPr>
        <w:numPr>
          <w:ilvl w:val="1"/>
          <w:numId w:val="2"/>
        </w:numPr>
        <w:tabs>
          <w:tab w:val="left" w:pos="0"/>
          <w:tab w:val="left" w:pos="284"/>
        </w:tabs>
        <w:ind w:right="113"/>
        <w:contextualSpacing/>
        <w:jc w:val="left"/>
        <w:rPr>
          <w:rFonts w:ascii="Times New Roman" w:hAnsi="Times New Roman"/>
          <w:b/>
          <w:sz w:val="22"/>
          <w:szCs w:val="22"/>
        </w:rPr>
      </w:pPr>
      <w:r w:rsidRPr="00DF7BCA">
        <w:rPr>
          <w:rFonts w:ascii="Times New Roman" w:hAnsi="Times New Roman"/>
          <w:b/>
          <w:sz w:val="22"/>
          <w:szCs w:val="22"/>
        </w:rPr>
        <w:t>Allegato tecnico: Regimi di qualità e prodotti agricoli ammissibili.</w:t>
      </w:r>
    </w:p>
    <w:p w:rsidR="009E2067" w:rsidRPr="00DF7BCA" w:rsidRDefault="009E2067" w:rsidP="009E2067">
      <w:pPr>
        <w:tabs>
          <w:tab w:val="left" w:pos="0"/>
          <w:tab w:val="left" w:pos="284"/>
        </w:tabs>
        <w:ind w:right="113"/>
        <w:rPr>
          <w:rFonts w:ascii="Times New Roman" w:hAnsi="Times New Roman"/>
          <w:b/>
          <w:sz w:val="22"/>
          <w:szCs w:val="22"/>
        </w:rPr>
      </w:pPr>
    </w:p>
    <w:p w:rsidR="009E2067" w:rsidRPr="00DF7BCA" w:rsidRDefault="009E2067" w:rsidP="009E2067">
      <w:pPr>
        <w:widowControl w:val="0"/>
        <w:numPr>
          <w:ilvl w:val="0"/>
          <w:numId w:val="3"/>
        </w:numPr>
        <w:spacing w:after="120"/>
        <w:jc w:val="left"/>
        <w:rPr>
          <w:rFonts w:ascii="Times New Roman" w:hAnsi="Times New Roman"/>
          <w:sz w:val="22"/>
          <w:szCs w:val="22"/>
          <w:lang w:eastAsia="en-US"/>
        </w:rPr>
      </w:pPr>
      <w:r w:rsidRPr="00DF7BCA">
        <w:rPr>
          <w:rFonts w:ascii="Times New Roman" w:hAnsi="Times New Roman"/>
          <w:sz w:val="22"/>
          <w:szCs w:val="22"/>
          <w:lang w:eastAsia="en-US"/>
        </w:rPr>
        <w:t xml:space="preserve">Regime di qualità delle DOP e IGP dei prodotti agricoli e alimentari (reg. (UE) n. 1151/2012) – </w:t>
      </w:r>
      <w:r w:rsidRPr="00DF7BCA">
        <w:rPr>
          <w:rFonts w:ascii="Times New Roman" w:hAnsi="Times New Roman"/>
          <w:sz w:val="22"/>
          <w:szCs w:val="22"/>
          <w:u w:val="single"/>
          <w:lang w:eastAsia="en-US"/>
        </w:rPr>
        <w:t>Prodotti agricoli</w:t>
      </w:r>
      <w:r w:rsidRPr="00DF7BCA">
        <w:rPr>
          <w:rFonts w:ascii="Times New Roman" w:hAnsi="Times New Roman"/>
          <w:sz w:val="22"/>
          <w:szCs w:val="22"/>
          <w:lang w:eastAsia="en-US"/>
        </w:rPr>
        <w:t xml:space="preserve"> registrati nello specifico registro dell’Unione (DOOR), raggruppati per </w:t>
      </w:r>
      <w:r w:rsidRPr="00DF7BCA">
        <w:rPr>
          <w:rFonts w:ascii="Times New Roman" w:hAnsi="Times New Roman"/>
          <w:b/>
          <w:sz w:val="22"/>
          <w:szCs w:val="22"/>
          <w:lang w:eastAsia="en-US"/>
        </w:rPr>
        <w:t>classe di prodotti</w:t>
      </w:r>
      <w:r w:rsidRPr="00DF7BCA">
        <w:rPr>
          <w:rFonts w:ascii="Times New Roman" w:hAnsi="Times New Roman"/>
          <w:sz w:val="22"/>
          <w:szCs w:val="22"/>
          <w:lang w:eastAsia="en-US"/>
        </w:rPr>
        <w:t>: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4818"/>
        <w:gridCol w:w="4814"/>
      </w:tblGrid>
      <w:tr w:rsidR="009E2067" w:rsidRPr="00DF7BCA" w:rsidTr="00F2086B">
        <w:tc>
          <w:tcPr>
            <w:tcW w:w="4889" w:type="dxa"/>
            <w:shd w:val="clear" w:color="auto" w:fill="auto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DOP</w:t>
            </w:r>
          </w:p>
        </w:tc>
        <w:tc>
          <w:tcPr>
            <w:tcW w:w="4889" w:type="dxa"/>
            <w:shd w:val="clear" w:color="auto" w:fill="auto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IGP</w:t>
            </w:r>
          </w:p>
        </w:tc>
      </w:tr>
      <w:tr w:rsidR="009E2067" w:rsidRPr="00DF7BCA" w:rsidTr="00F2086B">
        <w:tc>
          <w:tcPr>
            <w:tcW w:w="9778" w:type="dxa"/>
            <w:gridSpan w:val="2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Prodotti a base di carne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Prosciutto Veneto Berico-Euganeo DOP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Cotechino Modena IGP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Salamini Italiani alla Cacciatora DOP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Mortadella Bologna IGP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Sopressa Vicentina DOP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Salame Cremona IGP 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Zampone Modena IGP</w:t>
            </w:r>
          </w:p>
        </w:tc>
      </w:tr>
      <w:tr w:rsidR="009E2067" w:rsidRPr="00DF7BCA" w:rsidTr="00F2086B">
        <w:tc>
          <w:tcPr>
            <w:tcW w:w="9778" w:type="dxa"/>
            <w:gridSpan w:val="2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Formaggi</w:t>
            </w:r>
          </w:p>
        </w:tc>
      </w:tr>
      <w:tr w:rsidR="009E2067" w:rsidRPr="00DF7BCA" w:rsidTr="00F2086B">
        <w:tc>
          <w:tcPr>
            <w:tcW w:w="4889" w:type="dxa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Asiago DOP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Casatella Trevigiana DOP 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Grana Padano DOP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Montasio DOP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Monte Veronese DOP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Piave DOP 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Provolone Valpadana DOP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Taleggio DOP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9778" w:type="dxa"/>
            <w:gridSpan w:val="2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Altri prodotti di origine animale</w:t>
            </w:r>
          </w:p>
        </w:tc>
      </w:tr>
      <w:tr w:rsidR="009E2067" w:rsidRPr="00DF7BCA" w:rsidTr="00F2086B">
        <w:tc>
          <w:tcPr>
            <w:tcW w:w="4889" w:type="dxa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Miele delle Dolomiti Bellunesi DOP  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9778" w:type="dxa"/>
            <w:gridSpan w:val="2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Oli e grassi</w:t>
            </w:r>
          </w:p>
        </w:tc>
      </w:tr>
      <w:tr w:rsidR="009E2067" w:rsidRPr="00DF7BCA" w:rsidTr="00F2086B">
        <w:tc>
          <w:tcPr>
            <w:tcW w:w="4889" w:type="dxa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Garda DOP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Veneto “Valpolicella”, “Euganei-Berici” e “del Grappa” DOP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9778" w:type="dxa"/>
            <w:gridSpan w:val="2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Ortofrutticoli e cereali, freschi o trasformati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Aglio Bianco Polesano DOP  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Asparago Bianco di Cimadolmo IGP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Asparago Bianco di Bassano DOP 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Asparago di Badoere IGP 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Marrone di San Zeno DOP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Ciliegia di Marostica IGP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Fagiolo di Lamon della Vallata Bellunese IGP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Insalata di Lusia IGP 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Marrone di Combai IGP  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Marroni del Monfenera IGP 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Pesca di Verona IGP 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Radicchio di Chioggia IGP  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Radicchio di Verona IGP  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Radicchio Rosso di Treviso IGP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Radicchio Variegato di Castelfranco IGP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Riso del Delta del Po IGP 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Riso Nano Vialone Veronese IGP</w:t>
            </w:r>
          </w:p>
        </w:tc>
      </w:tr>
    </w:tbl>
    <w:p w:rsidR="009E2067" w:rsidRPr="00DF7BCA" w:rsidRDefault="009E2067" w:rsidP="009E2067">
      <w:pPr>
        <w:widowControl w:val="0"/>
        <w:spacing w:after="120"/>
        <w:ind w:left="357"/>
        <w:rPr>
          <w:rFonts w:ascii="Times New Roman" w:hAnsi="Times New Roman"/>
          <w:sz w:val="22"/>
          <w:szCs w:val="22"/>
          <w:highlight w:val="yellow"/>
          <w:lang w:eastAsia="en-US"/>
        </w:rPr>
      </w:pPr>
    </w:p>
    <w:p w:rsidR="009E2067" w:rsidRPr="00DF7BCA" w:rsidRDefault="009E2067" w:rsidP="009E2067">
      <w:pPr>
        <w:widowControl w:val="0"/>
        <w:numPr>
          <w:ilvl w:val="0"/>
          <w:numId w:val="3"/>
        </w:numPr>
        <w:spacing w:after="120"/>
        <w:ind w:left="357" w:hanging="357"/>
        <w:jc w:val="left"/>
        <w:rPr>
          <w:rFonts w:ascii="Times New Roman" w:hAnsi="Times New Roman"/>
          <w:sz w:val="22"/>
          <w:szCs w:val="22"/>
          <w:lang w:eastAsia="en-US"/>
        </w:rPr>
      </w:pPr>
      <w:r w:rsidRPr="00DF7BCA">
        <w:rPr>
          <w:rFonts w:ascii="Times New Roman" w:hAnsi="Times New Roman"/>
          <w:sz w:val="22"/>
          <w:szCs w:val="22"/>
          <w:lang w:eastAsia="en-US"/>
        </w:rPr>
        <w:t xml:space="preserve">Regime di qualità delle STG dei prodotti agricoli e alimentari (reg. (UE) n. 1151/2012) – </w:t>
      </w:r>
      <w:r w:rsidRPr="00DF7BCA">
        <w:rPr>
          <w:rFonts w:ascii="Times New Roman" w:hAnsi="Times New Roman"/>
          <w:sz w:val="22"/>
          <w:szCs w:val="22"/>
          <w:u w:val="single"/>
          <w:lang w:eastAsia="en-US"/>
        </w:rPr>
        <w:t>Prodotti agricoli</w:t>
      </w:r>
      <w:r w:rsidRPr="00DF7BCA">
        <w:rPr>
          <w:rFonts w:ascii="Times New Roman" w:hAnsi="Times New Roman"/>
          <w:sz w:val="22"/>
          <w:szCs w:val="22"/>
          <w:lang w:eastAsia="en-US"/>
        </w:rPr>
        <w:t xml:space="preserve"> registrati nello specifico registro dell’Unione (DOOR): 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32"/>
      </w:tblGrid>
      <w:tr w:rsidR="009E2067" w:rsidRPr="003A68DA" w:rsidTr="00F2086B">
        <w:tc>
          <w:tcPr>
            <w:tcW w:w="9778" w:type="dxa"/>
            <w:shd w:val="clear" w:color="auto" w:fill="auto"/>
          </w:tcPr>
          <w:p w:rsidR="009E2067" w:rsidRPr="003A68DA" w:rsidRDefault="009E2067" w:rsidP="00F2086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A68DA">
              <w:rPr>
                <w:rFonts w:ascii="Times New Roman" w:hAnsi="Times New Roman"/>
                <w:b/>
                <w:sz w:val="22"/>
                <w:szCs w:val="22"/>
              </w:rPr>
              <w:t>Formaggi</w:t>
            </w:r>
          </w:p>
        </w:tc>
      </w:tr>
      <w:tr w:rsidR="009E2067" w:rsidRPr="003A68DA" w:rsidTr="00F2086B">
        <w:tc>
          <w:tcPr>
            <w:tcW w:w="9778" w:type="dxa"/>
            <w:shd w:val="clear" w:color="auto" w:fill="auto"/>
          </w:tcPr>
          <w:p w:rsidR="009E2067" w:rsidRPr="003A68D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3A68DA">
              <w:rPr>
                <w:rFonts w:ascii="Times New Roman" w:hAnsi="Times New Roman"/>
                <w:sz w:val="22"/>
                <w:szCs w:val="22"/>
              </w:rPr>
              <w:t>Mozzarella STG</w:t>
            </w:r>
          </w:p>
        </w:tc>
      </w:tr>
    </w:tbl>
    <w:p w:rsidR="009E2067" w:rsidRPr="00DF7BCA" w:rsidRDefault="009E2067" w:rsidP="009E2067">
      <w:pPr>
        <w:widowControl w:val="0"/>
        <w:rPr>
          <w:rFonts w:ascii="Times New Roman" w:hAnsi="Times New Roman"/>
          <w:sz w:val="22"/>
          <w:szCs w:val="22"/>
          <w:highlight w:val="yellow"/>
          <w:lang w:eastAsia="en-US"/>
        </w:rPr>
      </w:pPr>
    </w:p>
    <w:p w:rsidR="009E2067" w:rsidRPr="00DF7BCA" w:rsidRDefault="009E2067" w:rsidP="009E2067">
      <w:pPr>
        <w:widowControl w:val="0"/>
        <w:numPr>
          <w:ilvl w:val="0"/>
          <w:numId w:val="3"/>
        </w:numPr>
        <w:spacing w:after="120"/>
        <w:jc w:val="left"/>
        <w:rPr>
          <w:rFonts w:ascii="Times New Roman" w:hAnsi="Times New Roman"/>
          <w:sz w:val="22"/>
          <w:szCs w:val="22"/>
          <w:lang w:eastAsia="en-US"/>
        </w:rPr>
      </w:pPr>
      <w:r w:rsidRPr="00DF7BCA">
        <w:rPr>
          <w:rFonts w:ascii="Times New Roman" w:hAnsi="Times New Roman"/>
          <w:sz w:val="22"/>
          <w:szCs w:val="22"/>
          <w:lang w:eastAsia="en-US"/>
        </w:rPr>
        <w:t xml:space="preserve">Regime di qualità della produzione biologica (reg. (CE) n. 834/2007) – </w:t>
      </w:r>
      <w:r w:rsidRPr="00DF7BCA">
        <w:rPr>
          <w:rFonts w:ascii="Times New Roman" w:hAnsi="Times New Roman"/>
          <w:sz w:val="22"/>
          <w:szCs w:val="22"/>
          <w:u w:val="single"/>
          <w:lang w:eastAsia="en-US"/>
        </w:rPr>
        <w:t>Prodotti agricoli</w:t>
      </w:r>
      <w:r w:rsidRPr="00DF7BCA">
        <w:rPr>
          <w:rFonts w:ascii="Times New Roman" w:hAnsi="Times New Roman"/>
          <w:sz w:val="22"/>
          <w:szCs w:val="22"/>
          <w:lang w:eastAsia="en-US"/>
        </w:rPr>
        <w:t xml:space="preserve"> ottenuti ai sensi del reg. (CE) n. 834/2007 e del reg. (CE) n. 889/2008.</w:t>
      </w:r>
    </w:p>
    <w:p w:rsidR="009E2067" w:rsidRPr="00DF7BCA" w:rsidRDefault="009E2067" w:rsidP="009E2067">
      <w:pPr>
        <w:widowControl w:val="0"/>
        <w:numPr>
          <w:ilvl w:val="0"/>
          <w:numId w:val="3"/>
        </w:numPr>
        <w:spacing w:after="120"/>
        <w:ind w:left="357" w:hanging="357"/>
        <w:jc w:val="left"/>
        <w:rPr>
          <w:rFonts w:ascii="Times New Roman" w:hAnsi="Times New Roman"/>
          <w:sz w:val="22"/>
          <w:szCs w:val="22"/>
          <w:lang w:eastAsia="en-US"/>
        </w:rPr>
      </w:pPr>
      <w:r w:rsidRPr="00DF7BCA">
        <w:rPr>
          <w:rFonts w:ascii="Times New Roman" w:hAnsi="Times New Roman"/>
          <w:sz w:val="22"/>
          <w:szCs w:val="22"/>
          <w:lang w:eastAsia="en-US"/>
        </w:rPr>
        <w:t>Regime di qualità delle DOP e IGP nel settore vitivinicolo (reg. (UE) n. 1308/2013) – Vini registrati nello specifico registro dell’Unione (E-Bacchus):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819"/>
        <w:gridCol w:w="4813"/>
      </w:tblGrid>
      <w:tr w:rsidR="009E2067" w:rsidRPr="00DF7BCA" w:rsidTr="00F2086B">
        <w:tc>
          <w:tcPr>
            <w:tcW w:w="4889" w:type="dxa"/>
            <w:shd w:val="clear" w:color="auto" w:fill="auto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DOP</w:t>
            </w:r>
            <w:r w:rsidRPr="00DF7BCA">
              <w:rPr>
                <w:rFonts w:ascii="Times New Roman" w:hAnsi="Times New Roman"/>
                <w:sz w:val="22"/>
                <w:szCs w:val="22"/>
              </w:rPr>
              <w:t xml:space="preserve"> (DOCG e DOC)</w:t>
            </w:r>
          </w:p>
        </w:tc>
        <w:tc>
          <w:tcPr>
            <w:tcW w:w="4889" w:type="dxa"/>
            <w:shd w:val="clear" w:color="auto" w:fill="auto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IGP</w:t>
            </w:r>
            <w:r w:rsidRPr="00DF7BCA">
              <w:rPr>
                <w:rFonts w:ascii="Times New Roman" w:hAnsi="Times New Roman"/>
                <w:sz w:val="22"/>
                <w:szCs w:val="22"/>
              </w:rPr>
              <w:t xml:space="preserve"> (IGT)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Amarone della Valpolicella DOCG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Alto Livenza IGT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Bagnoli Friularo o Friularo di Bagnoli DOCG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Colli Trevigiani IGT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Bardolino superiore DOCG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Conselvano IGT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Colli Asolani - Prosecco o Asolo - Prosecco DOCG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Delle Venezie IGT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Colli di Conegliano DOCG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Marca Trevigiana IGT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Colli Euganei Fior d’Arancio o Fior d’Arancio Colli Euganei DOCG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Vallagarina IGT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Conegliano Valdobbiadene - Prosecco o Conegliano - Prosecco o Valdobbiadene - Prosecco DOCG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Veneto IGT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Lison DOCG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Veneto Orientale IGT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Montello Rosso o Montello DOCG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Verona o Provincia di Verona o Veronese IGT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Piave Malanotte o Malanotte del Piave DOCG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Vigneti delle Dolomiti IGT</w:t>
            </w: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Recioto della Valpolicella DOCG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Recioto di Gambellara DOCG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Recioto di Soave DOCG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Soave Superiore DOCG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Arcole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Bagnoli di Sopra o Bagnoli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Bardolino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Bianco di Custoza o Custoza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Breganze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Colli Berici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Colli Euganei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Corti Benedettine del Padovano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Gambellara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Garda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Lessini Durello o Durello Lessini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Lison-Pramaggiore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Lugana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Merlara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Montello - Colli Asolani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Monti Lessini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Piave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Prosecco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Riviera del Brenta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San Martino della Battaglia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Soave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Valdadige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Valdadige Terradeiforti o Terradeiforti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Valpolicella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Valpolicella Ripasso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Venezia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Vicenza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E2067" w:rsidRPr="00DF7BCA" w:rsidTr="00F2086B">
        <w:tc>
          <w:tcPr>
            <w:tcW w:w="4889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Vigneti della Serenissima o Serenissima DOC</w:t>
            </w:r>
          </w:p>
        </w:tc>
        <w:tc>
          <w:tcPr>
            <w:tcW w:w="4889" w:type="dxa"/>
            <w:shd w:val="clear" w:color="auto" w:fill="BFBFBF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E2067" w:rsidRPr="00DF7BCA" w:rsidRDefault="009E2067" w:rsidP="009E2067">
      <w:pPr>
        <w:widowControl w:val="0"/>
        <w:rPr>
          <w:rFonts w:ascii="Times New Roman" w:hAnsi="Times New Roman"/>
          <w:sz w:val="22"/>
          <w:szCs w:val="22"/>
          <w:highlight w:val="yellow"/>
          <w:lang w:eastAsia="en-US"/>
        </w:rPr>
      </w:pPr>
    </w:p>
    <w:p w:rsidR="009E2067" w:rsidRPr="00DF7BCA" w:rsidRDefault="009E2067" w:rsidP="009E2067">
      <w:pPr>
        <w:widowControl w:val="0"/>
        <w:numPr>
          <w:ilvl w:val="0"/>
          <w:numId w:val="3"/>
        </w:numPr>
        <w:spacing w:after="120"/>
        <w:ind w:left="357" w:hanging="357"/>
        <w:jc w:val="left"/>
        <w:rPr>
          <w:rFonts w:ascii="Times New Roman" w:hAnsi="Times New Roman"/>
          <w:sz w:val="22"/>
          <w:szCs w:val="22"/>
          <w:lang w:eastAsia="en-US"/>
        </w:rPr>
      </w:pPr>
      <w:r w:rsidRPr="00DF7BCA">
        <w:rPr>
          <w:rFonts w:ascii="Times New Roman" w:hAnsi="Times New Roman"/>
          <w:sz w:val="22"/>
          <w:szCs w:val="22"/>
          <w:lang w:eastAsia="en-US"/>
        </w:rPr>
        <w:t xml:space="preserve">Sistema di qualità “Qualità Verificata” (Legge regionale del Veneto n. 12/2001) – </w:t>
      </w:r>
      <w:r w:rsidRPr="00DF7BCA">
        <w:rPr>
          <w:rFonts w:ascii="Times New Roman" w:hAnsi="Times New Roman"/>
          <w:sz w:val="22"/>
          <w:szCs w:val="22"/>
          <w:u w:val="single"/>
          <w:lang w:eastAsia="en-US"/>
        </w:rPr>
        <w:t>Prodotti agricoli</w:t>
      </w:r>
      <w:r w:rsidRPr="00DF7BCA">
        <w:rPr>
          <w:rFonts w:ascii="Times New Roman" w:hAnsi="Times New Roman"/>
          <w:sz w:val="22"/>
          <w:szCs w:val="22"/>
          <w:lang w:eastAsia="en-US"/>
        </w:rPr>
        <w:t xml:space="preserve"> ottenuti in conformità agli specifici disciplinari di produzione, raggruppati per </w:t>
      </w:r>
      <w:r w:rsidRPr="00DF7BCA">
        <w:rPr>
          <w:rFonts w:ascii="Times New Roman" w:hAnsi="Times New Roman"/>
          <w:b/>
          <w:sz w:val="22"/>
          <w:szCs w:val="22"/>
          <w:lang w:eastAsia="en-US"/>
        </w:rPr>
        <w:t>classe</w:t>
      </w:r>
      <w:r w:rsidRPr="00DF7BCA">
        <w:rPr>
          <w:rFonts w:ascii="Times New Roman" w:hAnsi="Times New Roman"/>
          <w:sz w:val="22"/>
          <w:szCs w:val="22"/>
          <w:lang w:eastAsia="en-US"/>
        </w:rPr>
        <w:t xml:space="preserve"> e </w:t>
      </w:r>
      <w:r w:rsidRPr="00DF7BCA">
        <w:rPr>
          <w:rFonts w:ascii="Times New Roman" w:hAnsi="Times New Roman"/>
          <w:b/>
          <w:sz w:val="22"/>
          <w:szCs w:val="22"/>
          <w:lang w:eastAsia="en-US"/>
        </w:rPr>
        <w:t>categoria di prodotti</w:t>
      </w:r>
      <w:r w:rsidRPr="00DF7BCA">
        <w:rPr>
          <w:rFonts w:ascii="Times New Roman" w:hAnsi="Times New Roman"/>
          <w:sz w:val="22"/>
          <w:szCs w:val="22"/>
          <w:lang w:eastAsia="en-US"/>
        </w:rPr>
        <w:t>: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632"/>
      </w:tblGrid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Carni fresche (e frattaglie)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Categoria di prodotti: Carni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Coniglio al fieno, vitello al latte e cereali, vitellone/scottona ai cereali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Altri prodotti di origine animale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Categoria di prodotti: Lattiero-caseari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Latte crudo e alimentare (vaccino)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Ortofrutticoli e cereali, freschi o trasformati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Categoria di prodotti: Colture orticole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Aglio, asparago, basilico (uso industriale), bietola da coste, carota, cavoli, cetriolo, cicoria, cipolla, cipolla (tipologia Borettana e Maggiolina), cocomero, fagiolino, fagiolo, fragola, indivia e scarola, lattuga, melanzana, melone, patata, patata dolce, peperone, pisello, pomodoro in coltura protetta, pomodoro da industria, porro, prezzemolo, radicchio, ravanello, scalogno, sedano, spinacio, zucca, zucchino, colture orticole IV gamma 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Categoria di prodotti: Colture frutticole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 xml:space="preserve">Actinidia, albicocco, castagno da frutto, ciliegio, melo, melograno, noce da frutto, olivo (produzione olive da olio), pero, pesco, piccoli frutti, susino, vite 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Categoria di prodotti: Funghi coltivati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Funghi pleurotus e pioppino, funghi prataioli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Categoria di prodotti: Colture cerealicole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Frumento tenero e duro, mais da granella, orzo, riso</w:t>
            </w:r>
          </w:p>
        </w:tc>
      </w:tr>
      <w:tr w:rsidR="009E2067" w:rsidRPr="00DF7BCA" w:rsidDel="001807C4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Del="001807C4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Categoria di prodotti: Erbe aromatiche</w:t>
            </w:r>
          </w:p>
        </w:tc>
      </w:tr>
      <w:tr w:rsidR="009E2067" w:rsidRPr="00DF7BCA" w:rsidDel="001807C4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Del="001807C4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Rosmarino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Altri prodotti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Categoria di prodotti: Colture industriali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Barbabietola da zucchero, soia, tabacco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Categoria di prodotti: Colture foraggere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Erba medica da foraggio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Fiori e piante ornamentali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F7BCA">
              <w:rPr>
                <w:rFonts w:ascii="Times New Roman" w:hAnsi="Times New Roman"/>
                <w:b/>
                <w:sz w:val="22"/>
                <w:szCs w:val="22"/>
              </w:rPr>
              <w:t>Categoria di prodotti: Colture floricole</w:t>
            </w:r>
          </w:p>
        </w:tc>
      </w:tr>
      <w:tr w:rsidR="009E2067" w:rsidRPr="00DF7BCA" w:rsidTr="00F2086B">
        <w:tc>
          <w:tcPr>
            <w:tcW w:w="9778" w:type="dxa"/>
            <w:shd w:val="clear" w:color="auto" w:fill="auto"/>
            <w:vAlign w:val="center"/>
          </w:tcPr>
          <w:p w:rsidR="009E2067" w:rsidRPr="00DF7BCA" w:rsidRDefault="009E2067" w:rsidP="00F2086B">
            <w:pPr>
              <w:widowControl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F7BCA">
              <w:rPr>
                <w:rFonts w:ascii="Times New Roman" w:hAnsi="Times New Roman"/>
                <w:sz w:val="22"/>
                <w:szCs w:val="22"/>
              </w:rPr>
              <w:t>Ornamentali arboree e arbustive, ornamentali in vaso, rose</w:t>
            </w:r>
          </w:p>
        </w:tc>
      </w:tr>
    </w:tbl>
    <w:p w:rsidR="009E2067" w:rsidRPr="00DF7BCA" w:rsidRDefault="009E2067" w:rsidP="009E2067">
      <w:pPr>
        <w:tabs>
          <w:tab w:val="left" w:pos="0"/>
          <w:tab w:val="left" w:pos="284"/>
        </w:tabs>
        <w:ind w:left="360" w:right="113"/>
        <w:contextualSpacing/>
        <w:rPr>
          <w:rFonts w:ascii="Times New Roman" w:hAnsi="Times New Roman"/>
          <w:b/>
          <w:sz w:val="22"/>
          <w:szCs w:val="22"/>
        </w:rPr>
      </w:pPr>
    </w:p>
    <w:p w:rsidR="009E2067" w:rsidRPr="00DF7BCA" w:rsidRDefault="009E2067" w:rsidP="009E2067">
      <w:pPr>
        <w:tabs>
          <w:tab w:val="left" w:pos="0"/>
          <w:tab w:val="left" w:pos="284"/>
        </w:tabs>
        <w:ind w:left="360" w:right="113"/>
        <w:contextualSpacing/>
        <w:rPr>
          <w:rFonts w:ascii="Times New Roman" w:hAnsi="Times New Roman"/>
          <w:b/>
          <w:sz w:val="22"/>
          <w:szCs w:val="22"/>
        </w:rPr>
      </w:pPr>
    </w:p>
    <w:p w:rsidR="009E2067" w:rsidRPr="00DF7BCA" w:rsidRDefault="009E2067" w:rsidP="009E2067">
      <w:pPr>
        <w:numPr>
          <w:ilvl w:val="1"/>
          <w:numId w:val="2"/>
        </w:numPr>
        <w:tabs>
          <w:tab w:val="left" w:pos="0"/>
          <w:tab w:val="left" w:pos="284"/>
        </w:tabs>
        <w:ind w:right="113"/>
        <w:contextualSpacing/>
        <w:jc w:val="left"/>
        <w:rPr>
          <w:rFonts w:ascii="Times New Roman" w:hAnsi="Times New Roman"/>
          <w:b/>
          <w:sz w:val="22"/>
          <w:szCs w:val="22"/>
        </w:rPr>
      </w:pPr>
      <w:r w:rsidRPr="00DF7BCA">
        <w:rPr>
          <w:rFonts w:ascii="Times New Roman" w:hAnsi="Times New Roman"/>
          <w:b/>
          <w:sz w:val="22"/>
          <w:szCs w:val="22"/>
        </w:rPr>
        <w:t>Allegato tecnico: Elementi minimi obbligatori atto costitutivo dell’ATI/ATS</w:t>
      </w:r>
    </w:p>
    <w:p w:rsidR="009E2067" w:rsidRPr="00DF7BCA" w:rsidRDefault="009E2067" w:rsidP="009E2067">
      <w:pPr>
        <w:contextualSpacing/>
        <w:jc w:val="left"/>
        <w:rPr>
          <w:rFonts w:ascii="Times New Roman" w:hAnsi="Times New Roman"/>
          <w:b/>
          <w:smallCaps/>
          <w:spacing w:val="5"/>
          <w:sz w:val="22"/>
          <w:szCs w:val="22"/>
        </w:rPr>
      </w:pPr>
    </w:p>
    <w:p w:rsidR="009E2067" w:rsidRPr="00DF7BCA" w:rsidRDefault="009E2067" w:rsidP="009E2067">
      <w:pPr>
        <w:widowControl w:val="0"/>
        <w:numPr>
          <w:ilvl w:val="1"/>
          <w:numId w:val="1"/>
        </w:numPr>
        <w:ind w:left="357" w:hanging="357"/>
        <w:contextualSpacing/>
        <w:jc w:val="left"/>
        <w:rPr>
          <w:rFonts w:ascii="Times New Roman" w:hAnsi="Times New Roman"/>
          <w:sz w:val="22"/>
          <w:szCs w:val="22"/>
          <w:lang w:eastAsia="en-US"/>
        </w:rPr>
      </w:pPr>
      <w:r w:rsidRPr="00DF7BCA">
        <w:rPr>
          <w:rFonts w:ascii="Times New Roman" w:hAnsi="Times New Roman"/>
          <w:sz w:val="22"/>
          <w:szCs w:val="22"/>
          <w:lang w:eastAsia="en-US"/>
        </w:rPr>
        <w:t xml:space="preserve">Conferimento del mandato collettivo speciale con rappresentanza ad uno dei membri dell’ATI/ATS (mandatario o capofila, al quale verrà erogato il contributo); </w:t>
      </w:r>
    </w:p>
    <w:p w:rsidR="009E2067" w:rsidRPr="00DF7BCA" w:rsidRDefault="009E2067" w:rsidP="009E2067">
      <w:pPr>
        <w:widowControl w:val="0"/>
        <w:numPr>
          <w:ilvl w:val="1"/>
          <w:numId w:val="1"/>
        </w:numPr>
        <w:ind w:left="357" w:hanging="357"/>
        <w:contextualSpacing/>
        <w:jc w:val="left"/>
        <w:rPr>
          <w:rFonts w:ascii="Times New Roman" w:hAnsi="Times New Roman"/>
          <w:sz w:val="22"/>
          <w:szCs w:val="22"/>
          <w:lang w:eastAsia="en-US"/>
        </w:rPr>
      </w:pPr>
      <w:r w:rsidRPr="00DF7BCA">
        <w:rPr>
          <w:rFonts w:ascii="Times New Roman" w:hAnsi="Times New Roman"/>
          <w:sz w:val="22"/>
          <w:szCs w:val="22"/>
          <w:lang w:eastAsia="en-US"/>
        </w:rPr>
        <w:t xml:space="preserve">finalità dell’ATI/ATS; </w:t>
      </w:r>
    </w:p>
    <w:p w:rsidR="009E2067" w:rsidRPr="00DF7BCA" w:rsidRDefault="009E2067" w:rsidP="009E2067">
      <w:pPr>
        <w:widowControl w:val="0"/>
        <w:numPr>
          <w:ilvl w:val="1"/>
          <w:numId w:val="1"/>
        </w:numPr>
        <w:ind w:left="357" w:hanging="357"/>
        <w:contextualSpacing/>
        <w:jc w:val="left"/>
        <w:rPr>
          <w:rFonts w:ascii="Times New Roman" w:hAnsi="Times New Roman"/>
          <w:sz w:val="22"/>
          <w:szCs w:val="22"/>
          <w:lang w:eastAsia="en-US"/>
        </w:rPr>
      </w:pPr>
      <w:r w:rsidRPr="00DF7BCA">
        <w:rPr>
          <w:rFonts w:ascii="Times New Roman" w:hAnsi="Times New Roman"/>
          <w:sz w:val="22"/>
          <w:szCs w:val="22"/>
          <w:lang w:eastAsia="en-US"/>
        </w:rPr>
        <w:t xml:space="preserve">impegni e doveri dei membri dell’ATI/ATS; </w:t>
      </w:r>
    </w:p>
    <w:p w:rsidR="009E2067" w:rsidRPr="00DF7BCA" w:rsidRDefault="009E2067" w:rsidP="009E2067">
      <w:pPr>
        <w:widowControl w:val="0"/>
        <w:numPr>
          <w:ilvl w:val="1"/>
          <w:numId w:val="1"/>
        </w:numPr>
        <w:ind w:left="357" w:hanging="357"/>
        <w:contextualSpacing/>
        <w:jc w:val="left"/>
        <w:rPr>
          <w:rFonts w:ascii="Times New Roman" w:hAnsi="Times New Roman"/>
          <w:sz w:val="22"/>
          <w:szCs w:val="22"/>
          <w:lang w:eastAsia="en-US"/>
        </w:rPr>
      </w:pPr>
      <w:r w:rsidRPr="00DF7BCA">
        <w:rPr>
          <w:rFonts w:ascii="Times New Roman" w:hAnsi="Times New Roman"/>
          <w:sz w:val="22"/>
          <w:szCs w:val="22"/>
          <w:lang w:eastAsia="en-US"/>
        </w:rPr>
        <w:t xml:space="preserve">doveri del mandatario; </w:t>
      </w:r>
    </w:p>
    <w:p w:rsidR="009E2067" w:rsidRPr="00DF7BCA" w:rsidRDefault="009E2067" w:rsidP="009E2067">
      <w:pPr>
        <w:widowControl w:val="0"/>
        <w:numPr>
          <w:ilvl w:val="1"/>
          <w:numId w:val="1"/>
        </w:numPr>
        <w:ind w:left="357" w:hanging="357"/>
        <w:contextualSpacing/>
        <w:jc w:val="left"/>
        <w:rPr>
          <w:rFonts w:ascii="Times New Roman" w:hAnsi="Times New Roman"/>
          <w:sz w:val="22"/>
          <w:szCs w:val="22"/>
          <w:lang w:eastAsia="en-US"/>
        </w:rPr>
      </w:pPr>
      <w:r w:rsidRPr="00DF7BCA">
        <w:rPr>
          <w:rFonts w:ascii="Times New Roman" w:hAnsi="Times New Roman"/>
          <w:sz w:val="22"/>
          <w:szCs w:val="22"/>
          <w:lang w:eastAsia="en-US"/>
        </w:rPr>
        <w:t xml:space="preserve">ripartizione del finanziamento pubblico e del cofinanziamento privato tra i membri dell’ATI/ATS (possono essere previsti i criteri di revisione di tale ripartizione, in caso di rinuncia di uno dei membri dell’ATI/ATS, fermi restando gli importi di spesa e contributo approvati con il provvedimento di finanziamento della domanda da parte di AVEPA); </w:t>
      </w:r>
    </w:p>
    <w:p w:rsidR="009E2067" w:rsidRPr="00DF7BCA" w:rsidRDefault="009E2067" w:rsidP="009E2067">
      <w:pPr>
        <w:widowControl w:val="0"/>
        <w:numPr>
          <w:ilvl w:val="1"/>
          <w:numId w:val="1"/>
        </w:numPr>
        <w:ind w:left="357" w:hanging="357"/>
        <w:contextualSpacing/>
        <w:jc w:val="left"/>
        <w:rPr>
          <w:rFonts w:ascii="Times New Roman" w:hAnsi="Times New Roman"/>
          <w:sz w:val="22"/>
          <w:szCs w:val="22"/>
          <w:lang w:eastAsia="en-US"/>
        </w:rPr>
      </w:pPr>
      <w:r w:rsidRPr="00DF7BCA">
        <w:rPr>
          <w:rFonts w:ascii="Times New Roman" w:hAnsi="Times New Roman"/>
          <w:sz w:val="22"/>
          <w:szCs w:val="22"/>
          <w:lang w:eastAsia="en-US"/>
        </w:rPr>
        <w:t xml:space="preserve">controllo e ripartizione delle spese tra i membri dell’ATI/ATS; </w:t>
      </w:r>
    </w:p>
    <w:p w:rsidR="009E2067" w:rsidRPr="00DF7BCA" w:rsidRDefault="009E2067" w:rsidP="009E2067">
      <w:pPr>
        <w:widowControl w:val="0"/>
        <w:numPr>
          <w:ilvl w:val="1"/>
          <w:numId w:val="1"/>
        </w:numPr>
        <w:ind w:left="357" w:hanging="357"/>
        <w:contextualSpacing/>
        <w:jc w:val="left"/>
        <w:rPr>
          <w:rFonts w:ascii="Times New Roman" w:hAnsi="Times New Roman"/>
          <w:sz w:val="22"/>
          <w:szCs w:val="22"/>
          <w:lang w:eastAsia="en-US"/>
        </w:rPr>
      </w:pPr>
      <w:r w:rsidRPr="00DF7BCA">
        <w:rPr>
          <w:rFonts w:ascii="Times New Roman" w:hAnsi="Times New Roman"/>
          <w:sz w:val="22"/>
          <w:szCs w:val="22"/>
          <w:lang w:eastAsia="en-US"/>
        </w:rPr>
        <w:t xml:space="preserve">riduzione del finanziamento; </w:t>
      </w:r>
    </w:p>
    <w:p w:rsidR="009E2067" w:rsidRPr="00DF7BCA" w:rsidRDefault="009E2067" w:rsidP="009E2067">
      <w:pPr>
        <w:widowControl w:val="0"/>
        <w:numPr>
          <w:ilvl w:val="1"/>
          <w:numId w:val="1"/>
        </w:numPr>
        <w:ind w:left="357" w:hanging="357"/>
        <w:contextualSpacing/>
        <w:jc w:val="left"/>
        <w:rPr>
          <w:rFonts w:ascii="Times New Roman" w:hAnsi="Times New Roman"/>
          <w:sz w:val="22"/>
          <w:szCs w:val="22"/>
          <w:lang w:eastAsia="en-US"/>
        </w:rPr>
      </w:pPr>
      <w:r w:rsidRPr="00DF7BCA">
        <w:rPr>
          <w:rFonts w:ascii="Times New Roman" w:hAnsi="Times New Roman"/>
          <w:sz w:val="22"/>
          <w:szCs w:val="22"/>
          <w:lang w:eastAsia="en-US"/>
        </w:rPr>
        <w:t xml:space="preserve">validità (deve essere prevista la cessazione degli effetti alla data di estinzione di tutte le obbligazioni assunte, dopo l’approvazione della rendicontazione finale e l’erogazione del saldo del contributo da parte di AVEPA). </w:t>
      </w:r>
    </w:p>
    <w:p w:rsidR="009E2067" w:rsidRPr="00DF7BCA" w:rsidRDefault="009E2067" w:rsidP="009E2067">
      <w:pPr>
        <w:widowControl w:val="0"/>
        <w:rPr>
          <w:rFonts w:ascii="Times New Roman" w:hAnsi="Times New Roman"/>
          <w:sz w:val="22"/>
          <w:szCs w:val="22"/>
          <w:lang w:eastAsia="en-US"/>
        </w:rPr>
      </w:pPr>
    </w:p>
    <w:p w:rsidR="00F01FA7" w:rsidRDefault="00F01FA7" w:rsidP="00D65FB1">
      <w:bookmarkStart w:id="0" w:name="_GoBack"/>
      <w:bookmarkEnd w:id="0"/>
    </w:p>
    <w:sectPr w:rsidR="00F01FA7">
      <w:headerReference w:type="default" r:id="rId5"/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18C" w:rsidRPr="003A68DA" w:rsidRDefault="00D65FB1">
    <w:pPr>
      <w:pStyle w:val="Pidipagina"/>
      <w:jc w:val="right"/>
      <w:rPr>
        <w:rFonts w:ascii="Calibri" w:hAnsi="Calibri"/>
        <w:szCs w:val="20"/>
      </w:rPr>
    </w:pPr>
    <w:r w:rsidRPr="003A68DA">
      <w:rPr>
        <w:rFonts w:ascii="Calibri" w:hAnsi="Calibri"/>
        <w:szCs w:val="20"/>
      </w:rPr>
      <w:fldChar w:fldCharType="begin"/>
    </w:r>
    <w:r w:rsidRPr="003A68DA">
      <w:rPr>
        <w:rFonts w:ascii="Calibri" w:hAnsi="Calibri"/>
        <w:szCs w:val="20"/>
      </w:rPr>
      <w:instrText>PAGE   \* MERGEFORMAT</w:instrText>
    </w:r>
    <w:r w:rsidRPr="003A68DA">
      <w:rPr>
        <w:rFonts w:ascii="Calibri" w:hAnsi="Calibri"/>
        <w:szCs w:val="20"/>
      </w:rPr>
      <w:fldChar w:fldCharType="separate"/>
    </w:r>
    <w:r>
      <w:rPr>
        <w:rFonts w:ascii="Calibri" w:hAnsi="Calibri"/>
        <w:noProof/>
        <w:szCs w:val="20"/>
      </w:rPr>
      <w:t>1</w:t>
    </w:r>
    <w:r w:rsidRPr="003A68DA">
      <w:rPr>
        <w:rFonts w:ascii="Calibri" w:hAnsi="Calibri"/>
        <w:szCs w:val="20"/>
      </w:rPr>
      <w:fldChar w:fldCharType="end"/>
    </w:r>
  </w:p>
  <w:p w:rsidR="00CE018C" w:rsidRDefault="00D65FB1">
    <w:pPr>
      <w:pStyle w:val="Pidipagin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18C" w:rsidRDefault="00D65FB1" w:rsidP="00DF7BC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12B1"/>
    <w:multiLevelType w:val="multilevel"/>
    <w:tmpl w:val="EA94C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B7224DF"/>
    <w:multiLevelType w:val="hybridMultilevel"/>
    <w:tmpl w:val="6CD6E05A"/>
    <w:lvl w:ilvl="0" w:tplc="BEE299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21881"/>
    <w:multiLevelType w:val="hybridMultilevel"/>
    <w:tmpl w:val="AC0A8218"/>
    <w:lvl w:ilvl="0" w:tplc="B0ECF8A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067"/>
    <w:rsid w:val="009E2067"/>
    <w:rsid w:val="00D65FB1"/>
    <w:rsid w:val="00F0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2CD8AA-81DF-48C1-BE3F-01919A956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206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d,encabezado,F,Even,intestazione,L1 Header,Header/Footer,header odd,Hyphen,h,even"/>
    <w:basedOn w:val="Normale"/>
    <w:link w:val="IntestazioneCarattere"/>
    <w:uiPriority w:val="99"/>
    <w:rsid w:val="009E20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2,encabezado Carattere2,F Carattere2,Even Carattere2,intestazione Carattere2,L1 Header Carattere2,Header/Footer Carattere2,header odd Carattere2,Hyphen Carattere2,h Carattere2,even Carattere"/>
    <w:basedOn w:val="Carpredefinitoparagrafo"/>
    <w:link w:val="Intestazione"/>
    <w:uiPriority w:val="99"/>
    <w:rsid w:val="009E2067"/>
    <w:rPr>
      <w:rFonts w:ascii="Verdana" w:eastAsia="Times New Roman" w:hAnsi="Verdana" w:cs="Times New Roman"/>
      <w:sz w:val="20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9E20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2067"/>
    <w:rPr>
      <w:rFonts w:ascii="Verdana" w:eastAsia="Times New Roman" w:hAnsi="Verdana" w:cs="Times New Roman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1</cp:revision>
  <dcterms:created xsi:type="dcterms:W3CDTF">2017-07-07T08:13:00Z</dcterms:created>
  <dcterms:modified xsi:type="dcterms:W3CDTF">2017-07-07T09:11:00Z</dcterms:modified>
</cp:coreProperties>
</file>